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D442C3">
        <w:rPr>
          <w:b/>
        </w:rPr>
        <w:t>работ по проведению поверки/калибровки средств измерения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B04E65">
        <w:rPr>
          <w:b/>
        </w:rPr>
        <w:t>35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B04E65">
        <w:rPr>
          <w:b/>
        </w:rPr>
        <w:t>15.07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A27B3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D442C3">
              <w:t>работ по проведению поверки/калибровки средств измерения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D442C3" w:rsidP="0091726F">
            <w:pPr>
              <w:widowControl/>
              <w:jc w:val="both"/>
            </w:pPr>
            <w:r w:rsidRPr="00D442C3">
              <w:t>ФБУ «Нижегородский ЦСМ»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D442C3">
              <w:t>31.08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387F7F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D442C3" w:rsidRPr="00D442C3">
              <w:t>Павлово, ул. Коммунистическая</w:t>
            </w:r>
            <w:r w:rsidR="00D442C3">
              <w:t xml:space="preserve"> д 78</w:t>
            </w:r>
            <w:r w:rsidR="00387F7F">
              <w:t>,</w:t>
            </w:r>
            <w:r w:rsidR="00D442C3">
              <w:t xml:space="preserve"> </w:t>
            </w:r>
            <w:r w:rsidR="00D442C3" w:rsidRPr="00D442C3">
              <w:t>ул. Вокзальная</w:t>
            </w:r>
            <w:r w:rsidR="00D442C3">
              <w:t xml:space="preserve"> д. 64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D442C3" w:rsidRPr="00D442C3">
              <w:rPr>
                <w:bCs/>
              </w:rPr>
              <w:t>авансовым платежом в размере 100 % в течени</w:t>
            </w:r>
            <w:bookmarkStart w:id="0" w:name="_GoBack"/>
            <w:bookmarkEnd w:id="0"/>
            <w:r w:rsidR="00D442C3" w:rsidRPr="00D442C3">
              <w:rPr>
                <w:bCs/>
              </w:rPr>
              <w:t>е 15 (пятнадцати) рабочих дней с момента выставления Исполнителем счета на оплату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95597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D442C3" w:rsidRPr="00D442C3">
              <w:rPr>
                <w:shd w:val="clear" w:color="auto" w:fill="FFFFFF"/>
              </w:rPr>
              <w:t>165 542 (сто шестьдесят пять тысяч пятьсот сорок два) рубля 40 копеек</w:t>
            </w:r>
            <w:r w:rsidR="00962CC0" w:rsidRPr="00962CC0">
              <w:rPr>
                <w:shd w:val="clear" w:color="auto" w:fill="FFFFFF"/>
              </w:rPr>
              <w:t xml:space="preserve"> </w:t>
            </w:r>
            <w:r w:rsidR="00175804" w:rsidRPr="00175804">
              <w:rPr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B8D" w:rsidRDefault="00AD2B8D">
      <w:r>
        <w:separator/>
      </w:r>
    </w:p>
  </w:endnote>
  <w:endnote w:type="continuationSeparator" w:id="0">
    <w:p w:rsidR="00AD2B8D" w:rsidRDefault="00AD2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B8D" w:rsidRDefault="00AD2B8D">
      <w:r>
        <w:separator/>
      </w:r>
    </w:p>
  </w:footnote>
  <w:footnote w:type="continuationSeparator" w:id="0">
    <w:p w:rsidR="00AD2B8D" w:rsidRDefault="00AD2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87F7F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D2B8D"/>
    <w:rsid w:val="00AE386E"/>
    <w:rsid w:val="00AE524C"/>
    <w:rsid w:val="00AE59D6"/>
    <w:rsid w:val="00AE5DDF"/>
    <w:rsid w:val="00AE63A0"/>
    <w:rsid w:val="00B00494"/>
    <w:rsid w:val="00B03E46"/>
    <w:rsid w:val="00B04E65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6BF1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2C3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A4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2025-07-15T11:09:00Z</dcterms:modified>
</cp:coreProperties>
</file>