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6E0D9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345300">
              <w:rPr>
                <w:rFonts w:ascii="Times New Roman" w:hAnsi="Times New Roman"/>
                <w:lang w:eastAsia="ru-RU"/>
              </w:rPr>
              <w:t>№ 24-изв/24 от 07.06.2024г.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4558E9"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работ </w:t>
            </w:r>
            <w:r w:rsidR="00E40405">
              <w:rPr>
                <w:rFonts w:ascii="Times New Roman" w:eastAsia="Arial Unicode MS" w:hAnsi="Times New Roman"/>
                <w:bCs/>
                <w:color w:val="000000"/>
                <w:kern w:val="2"/>
                <w:lang w:eastAsia="ru-RU"/>
              </w:rPr>
              <w:t xml:space="preserve">по </w:t>
            </w:r>
            <w:r w:rsidR="00345300">
              <w:rPr>
                <w:rFonts w:ascii="Times New Roman" w:eastAsia="Arial Unicode MS" w:hAnsi="Times New Roman"/>
                <w:bCs/>
                <w:color w:val="000000"/>
                <w:kern w:val="2"/>
                <w:lang w:eastAsia="ru-RU"/>
              </w:rPr>
              <w:t>прокладке КЛ-6кВ от ПС 35/6кВ «ПОМЗ» до новой КТП-400кВА</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345300">
        <w:trPr>
          <w:trHeight w:val="30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345300" w:rsidRDefault="00345300" w:rsidP="00701AF9">
            <w:pPr>
              <w:pStyle w:val="111"/>
              <w:spacing w:after="0" w:line="240" w:lineRule="auto"/>
              <w:rPr>
                <w:rFonts w:ascii="Times New Roman" w:hAnsi="Times New Roman"/>
                <w:sz w:val="22"/>
                <w:szCs w:val="22"/>
                <w:lang w:val="ru-RU" w:eastAsia="ru-RU"/>
              </w:rPr>
            </w:pPr>
            <w:r w:rsidRPr="00345300">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начала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345300">
              <w:rPr>
                <w:rFonts w:ascii="Times New Roman" w:eastAsia="Arial Unicode MS" w:hAnsi="Times New Roman"/>
                <w:color w:val="000000"/>
                <w:kern w:val="2"/>
                <w:lang w:eastAsia="ru-RU"/>
              </w:rPr>
              <w:t>07.06</w:t>
            </w:r>
            <w:r w:rsidRPr="00E40405">
              <w:rPr>
                <w:rFonts w:ascii="Times New Roman" w:eastAsia="Arial Unicode MS" w:hAnsi="Times New Roman"/>
                <w:color w:val="000000"/>
                <w:kern w:val="2"/>
                <w:lang w:eastAsia="ru-RU"/>
              </w:rPr>
              <w:t>.2024г.</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окончания срока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bCs/>
                <w:color w:val="000000"/>
                <w:kern w:val="2"/>
                <w:lang w:eastAsia="ru-RU"/>
              </w:rPr>
            </w:pPr>
            <w:r w:rsidRPr="00E40405">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345300">
              <w:rPr>
                <w:rFonts w:ascii="Times New Roman" w:eastAsia="Arial Unicode MS" w:hAnsi="Times New Roman"/>
                <w:bCs/>
                <w:color w:val="000000"/>
                <w:kern w:val="2"/>
                <w:lang w:eastAsia="ru-RU"/>
              </w:rPr>
              <w:t>17.06</w:t>
            </w:r>
            <w:r w:rsidRPr="00E40405">
              <w:rPr>
                <w:rFonts w:ascii="Times New Roman" w:eastAsia="Arial Unicode MS" w:hAnsi="Times New Roman"/>
                <w:bCs/>
                <w:color w:val="000000"/>
                <w:kern w:val="2"/>
                <w:lang w:eastAsia="ru-RU"/>
              </w:rPr>
              <w:t>.2024г. по месту нахождению Заказчика ООО «Павловоэнерго», 606100 Нижегородская обл. г. Павлово пер. Гаражный д. 1.</w:t>
            </w:r>
          </w:p>
          <w:p w:rsid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Подведение итогов осуществляется в следующем порядке:</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345300">
              <w:rPr>
                <w:rFonts w:ascii="Times New Roman" w:eastAsia="Arial Unicode MS" w:hAnsi="Times New Roman"/>
                <w:color w:val="000000"/>
                <w:kern w:val="2"/>
                <w:lang w:eastAsia="ru-RU"/>
              </w:rPr>
              <w:t>18.06</w:t>
            </w:r>
            <w:r w:rsidRPr="00E40405">
              <w:rPr>
                <w:rFonts w:ascii="Times New Roman" w:eastAsia="Arial Unicode MS" w:hAnsi="Times New Roman"/>
                <w:color w:val="000000"/>
                <w:kern w:val="2"/>
                <w:lang w:eastAsia="ru-RU"/>
              </w:rPr>
              <w:t>.2023г. в 08:00 московского времени по месту нахождению Заказчика ООО «Павловоэнерго», 606100 Нижегородская обл. г. Павлово пер. Гаражный д. 1.</w:t>
            </w:r>
          </w:p>
          <w:p w:rsidR="001A52A7" w:rsidRPr="00CF55C7" w:rsidRDefault="00E40405" w:rsidP="00345300">
            <w:pPr>
              <w:widowControl w:val="0"/>
              <w:suppressAutoHyphens/>
              <w:spacing w:after="0" w:line="240" w:lineRule="auto"/>
              <w:jc w:val="both"/>
              <w:rPr>
                <w:rFonts w:ascii="Times New Roman" w:hAnsi="Times New Roman"/>
                <w:lang w:eastAsia="ru-RU"/>
              </w:rPr>
            </w:pPr>
            <w:r w:rsidRPr="00E40405">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345300">
              <w:rPr>
                <w:rFonts w:ascii="Times New Roman" w:eastAsia="Arial Unicode MS" w:hAnsi="Times New Roman"/>
                <w:color w:val="000000"/>
                <w:kern w:val="2"/>
                <w:lang w:eastAsia="ru-RU"/>
              </w:rPr>
              <w:t>18.06</w:t>
            </w:r>
            <w:r w:rsidRPr="00E40405">
              <w:rPr>
                <w:rFonts w:ascii="Times New Roman" w:eastAsia="Arial Unicode MS" w:hAnsi="Times New Roman"/>
                <w:color w:val="000000"/>
                <w:kern w:val="2"/>
                <w:lang w:eastAsia="ru-RU"/>
              </w:rPr>
              <w:t>.2024г. с 08:30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345300">
              <w:rPr>
                <w:rFonts w:ascii="Times New Roman" w:hAnsi="Times New Roman"/>
                <w:bCs/>
                <w:lang w:eastAsia="ru-RU"/>
              </w:rPr>
              <w:t>07.06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345300">
              <w:rPr>
                <w:rFonts w:ascii="Times New Roman" w:hAnsi="Times New Roman"/>
                <w:bCs/>
                <w:lang w:eastAsia="ru-RU"/>
              </w:rPr>
              <w:t>11.06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345300">
              <w:rPr>
                <w:rFonts w:ascii="Times New Roman" w:hAnsi="Times New Roman"/>
                <w:bCs/>
                <w:lang w:eastAsia="ru-RU"/>
              </w:rPr>
              <w:t>07.06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p w:rsidR="00181216" w:rsidRPr="00CF55C7" w:rsidRDefault="00326F93" w:rsidP="00345300">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w:t>
            </w:r>
            <w:bookmarkStart w:id="1" w:name="_GoBack"/>
            <w:bookmarkEnd w:id="1"/>
            <w:r w:rsidRPr="00CF55C7">
              <w:rPr>
                <w:rFonts w:ascii="Times New Roman" w:hAnsi="Times New Roman"/>
                <w:bCs/>
                <w:lang w:eastAsia="ru-RU"/>
              </w:rPr>
              <w:t>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345300">
              <w:rPr>
                <w:rFonts w:ascii="Times New Roman" w:hAnsi="Times New Roman"/>
                <w:bCs/>
                <w:lang w:eastAsia="ru-RU"/>
              </w:rPr>
              <w:t>14.06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113B3D">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B3D" w:rsidRDefault="00113B3D">
      <w:pPr>
        <w:spacing w:after="0" w:line="240" w:lineRule="auto"/>
      </w:pPr>
      <w:r>
        <w:separator/>
      </w:r>
    </w:p>
  </w:endnote>
  <w:endnote w:type="continuationSeparator" w:id="0">
    <w:p w:rsidR="00113B3D" w:rsidRDefault="00113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B3D" w:rsidRDefault="00113B3D">
      <w:pPr>
        <w:spacing w:after="0" w:line="240" w:lineRule="auto"/>
      </w:pPr>
      <w:r>
        <w:separator/>
      </w:r>
    </w:p>
  </w:footnote>
  <w:footnote w:type="continuationSeparator" w:id="0">
    <w:p w:rsidR="00113B3D" w:rsidRDefault="00113B3D">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B3D"/>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300"/>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0405"/>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1BA3"/>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78E7B"/>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7E132-E713-4E7C-BFC5-8146872B6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2585</TotalTime>
  <Pages>52</Pages>
  <Words>28257</Words>
  <Characters>161067</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367</cp:revision>
  <cp:lastPrinted>2021-07-12T10:50:00Z</cp:lastPrinted>
  <dcterms:created xsi:type="dcterms:W3CDTF">2012-12-28T11:39:00Z</dcterms:created>
  <dcterms:modified xsi:type="dcterms:W3CDTF">2024-06-07T10:43:00Z</dcterms:modified>
</cp:coreProperties>
</file>